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1.KLD A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Sezimovo Ústí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Marek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Samec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Sezimovo Ústí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Repčík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Jiří Novotný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Sezimovo Ústí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Sezimovo Ústí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Repčík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Sezimovo Ústí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Andrlík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Zeman Zdeněk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Sezimovo Ústí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Samec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Andrlík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Sezimovo Ústí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10:20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Samec Zdeněk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Repčík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Konstruktiva Praha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Sezimovo Ústí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Kohlíček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Andrlík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Hilton Sezimovo Ústí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Rokycany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Marek Petr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10.02.2019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Jiskra Hazlov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Lokomotiva Tábor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Repčík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Jiskra Hazlov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Jiskra Hazlov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Hazlov </w:t>
      </w:r>
      <w:r>
        <w:t> - KK Hilton Sezimovo Ústí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14.10.18</w:t>
      </w:r>
      <w:r>
        <w:tab/>
      </w:r>
      <w:r>
        <w:t>ne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TJ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Hazlov 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04.11.18</w:t>
      </w:r>
      <w:r>
        <w:tab/>
      </w:r>
      <w:r>
        <w:t>ne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TJ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25.11.18</w:t>
      </w:r>
      <w:r>
        <w:tab/>
      </w:r>
      <w:r>
        <w:t>ne</w:t>
      </w:r>
      <w:r>
        <w:tab/>
      </w:r>
      <w:r>
        <w:t>10:00</w:t>
      </w:r>
      <w:r>
        <w:tab/>
      </w:r>
      <w:r>
        <w:t>KK Hilton Sezimovo Ústí  - </w:t>
      </w:r>
      <w:r>
        <w:rPr>
          <w:color w:val="00B050"/>
        </w:rPr>
        <w:t>TJ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13.01.19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Hazlov 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20.01.19</w:t>
      </w:r>
      <w:r>
        <w:tab/>
      </w:r>
      <w:r>
        <w:t>ne</w:t>
      </w:r>
      <w:r>
        <w:tab/>
      </w:r>
      <w:r>
        <w:t>10:00</w:t>
      </w:r>
      <w:r>
        <w:tab/>
      </w:r>
      <w:r>
        <w:t>SKK Rokycany - </w:t>
      </w:r>
      <w:r>
        <w:rPr>
          <w:color w:val="00B050"/>
        </w:rPr>
        <w:t>TJ Jiskra Hazlov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10.02.19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Jiskra Hazlov 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Hilton Sezimovo Ústí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Hilton Sezimovo Ústí 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30.09.18</w:t>
      </w:r>
      <w:r>
        <w:tab/>
      </w:r>
      <w:r>
        <w:t>ne</w:t>
      </w:r>
      <w:r>
        <w:tab/>
      </w:r>
      <w:r>
        <w:t>10:00</w:t>
      </w:r>
      <w:r>
        <w:tab/>
      </w:r>
      <w:r>
        <w:t>TJ Jiskra Hazlov  - </w:t>
      </w:r>
      <w:r>
        <w:rPr>
          <w:color w:val="00B050"/>
        </w:rPr>
        <w:t>KK Hilton Sezimovo Ústí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Hilton Sezimovo Ústí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Hilton Sezimovo Ústí 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04.11.18</w:t>
      </w:r>
      <w:r>
        <w:tab/>
      </w:r>
      <w:r>
        <w:t>ne</w:t>
      </w:r>
      <w:r>
        <w:tab/>
      </w:r>
      <w:r>
        <w:t>10:00</w:t>
      </w:r>
      <w:r>
        <w:tab/>
      </w:r>
      <w:r>
        <w:t>SKK Rokycany - </w:t>
      </w:r>
      <w:r>
        <w:rPr>
          <w:color w:val="00B050"/>
        </w:rPr>
        <w:t>KK Hilton Sezimovo Ústí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11.11.18</w:t>
      </w:r>
      <w:r>
        <w:tab/>
      </w:r>
      <w:r>
        <w:t>ne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KK Hilton Sezimovo Ústí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25.11.18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Hilton Sezimovo Ústí </w:t>
      </w:r>
      <w:r>
        <w:t> - TJ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20.01.19</w:t>
      </w:r>
      <w:r>
        <w:tab/>
      </w:r>
      <w:r>
        <w:t>ne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KK Hilton Sezimovo Ústí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10.02.19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Hilton Sezimovo Ústí 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Konstruktiva Praha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30.09.18</w:t>
      </w:r>
      <w:r>
        <w:tab/>
      </w:r>
      <w:r>
        <w:t>ne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TJ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21.10.18</w:t>
      </w:r>
      <w:r>
        <w:tab/>
      </w:r>
      <w:r>
        <w:t>ne</w:t>
      </w:r>
      <w:r>
        <w:tab/>
      </w:r>
      <w:r>
        <w:t>10:00</w:t>
      </w:r>
      <w:r>
        <w:tab/>
      </w:r>
      <w:r>
        <w:t>KK Hilton Sezimovo Ústí 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Konstruktiva Praha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11.11.18</w:t>
      </w:r>
      <w:r>
        <w:tab/>
      </w:r>
      <w:r>
        <w:t>ne</w:t>
      </w:r>
      <w:r>
        <w:tab/>
      </w:r>
      <w:r>
        <w:t>10:00</w:t>
      </w:r>
      <w:r>
        <w:tab/>
      </w:r>
      <w:r>
        <w:t>SKK Rokycany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25.11.18</w:t>
      </w:r>
      <w:r>
        <w:tab/>
      </w:r>
      <w:r>
        <w:t>ne</w:t>
      </w:r>
      <w:r>
        <w:tab/>
      </w:r>
      <w:r>
        <w:t>10:20</w:t>
      </w:r>
      <w:r>
        <w:tab/>
      </w:r>
      <w:r>
        <w:t/>
      </w:r>
      <w:r>
        <w:rPr>
          <w:color w:val="00B050"/>
        </w:rPr>
        <w:t>KK Konstruktiva Praha 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13.01.19</w:t>
      </w:r>
      <w:r>
        <w:tab/>
      </w:r>
      <w:r>
        <w:t>ne</w:t>
      </w:r>
      <w:r>
        <w:tab/>
      </w:r>
      <w:r>
        <w:t>10:00</w:t>
      </w:r>
      <w:r>
        <w:tab/>
      </w:r>
      <w:r>
        <w:t>TJ Jiskra Hazlov  - </w:t>
      </w:r>
      <w:r>
        <w:rPr>
          <w:color w:val="00B050"/>
        </w:rPr>
        <w:t>KK Konstruktiva Praha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20.01.19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Konstruktiva Praha </w:t>
      </w:r>
      <w:r>
        <w:t> - KK Hilton Sezimovo Ústí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Rokycany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23.09.18</w:t>
      </w:r>
      <w:r>
        <w:tab/>
      </w:r>
      <w:r>
        <w:t>ne</w:t>
      </w:r>
      <w:r>
        <w:tab/>
      </w:r>
      <w:r>
        <w:t>10:00</w:t>
      </w:r>
      <w:r>
        <w:tab/>
      </w:r>
      <w:r>
        <w:t>KK Konstruktiva Praha 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</w:t>
      </w:r>
      <w:r>
        <w:t> - KK Lokomotiva Tábor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21.10.18</w:t>
      </w:r>
      <w:r>
        <w:tab/>
      </w:r>
      <w:r>
        <w:t>ne</w:t>
      </w:r>
      <w:r>
        <w:tab/>
      </w:r>
      <w:r>
        <w:t>10:00</w:t>
      </w:r>
      <w:r>
        <w:tab/>
      </w:r>
      <w:r>
        <w:t>TJ Jiskra Hazlov 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</w:t>
      </w:r>
      <w:r>
        <w:t> - KK Hilton Sezimovo Ústí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Rokycany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13.01.19</w:t>
      </w:r>
      <w:r>
        <w:tab/>
      </w:r>
      <w:r>
        <w:t>ne</w:t>
      </w:r>
      <w:r>
        <w:tab/>
      </w:r>
      <w:r>
        <w:t>10:00</w:t>
      </w:r>
      <w:r>
        <w:tab/>
      </w:r>
      <w:r>
        <w:t>KK Lokomotiva Tábor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20.01.19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Rokycany</w:t>
      </w:r>
      <w:r>
        <w:t> - TJ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10.02.19</w:t>
      </w:r>
      <w:r>
        <w:tab/>
      </w:r>
      <w:r>
        <w:t>ne</w:t>
      </w:r>
      <w:r>
        <w:tab/>
      </w:r>
      <w:r>
        <w:t>10:00</w:t>
      </w:r>
      <w:r>
        <w:tab/>
      </w:r>
      <w:r>
        <w:t>KK Hilton Sezimovo Ústí  - </w:t>
      </w:r>
      <w:r>
        <w:rPr>
          <w:color w:val="00B050"/>
        </w:rPr>
        <w:t>SKK Rokycany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Lokomotiva Tábor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23.09.18</w:t>
      </w:r>
      <w:r>
        <w:tab/>
      </w:r>
      <w:r>
        <w:t>ne</w:t>
      </w:r>
      <w:r>
        <w:tab/>
      </w:r>
      <w:r>
        <w:t>10:00</w:t>
      </w:r>
      <w:r>
        <w:tab/>
      </w:r>
      <w:r>
        <w:t>KK Hilton Sezimovo Ústí 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30.09.18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KK Konstruktiva Praha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14.10.18</w:t>
      </w:r>
      <w:r>
        <w:tab/>
      </w:r>
      <w:r>
        <w:t>ne</w:t>
      </w:r>
      <w:r>
        <w:tab/>
      </w:r>
      <w:r>
        <w:t>10:00</w:t>
      </w:r>
      <w:r>
        <w:tab/>
      </w:r>
      <w:r>
        <w:t>SKK Rokycany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04.11.18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TJ Jiskra Hazlov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11.11.18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KK Hilton Sezimovo Ústí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25.11.18</w:t>
      </w:r>
      <w:r>
        <w:tab/>
      </w:r>
      <w:r>
        <w:t>ne</w:t>
      </w:r>
      <w:r>
        <w:tab/>
      </w:r>
      <w:r>
        <w:t>10:20</w:t>
      </w:r>
      <w:r>
        <w:tab/>
      </w:r>
      <w:r>
        <w:t>KK Konstruktiva Praha 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13.01.19</w:t>
      </w:r>
      <w:r>
        <w:tab/>
      </w:r>
      <w:r>
        <w:t>ne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KK Lokomotiva Tábor</w:t>
      </w:r>
      <w:r>
        <w:t> - SKK Rokycany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Lokomotiva Tábor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10.02.19</w:t>
      </w:r>
      <w:r>
        <w:tab/>
      </w:r>
      <w:r>
        <w:t>ne</w:t>
      </w:r>
      <w:r>
        <w:tab/>
      </w:r>
      <w:r>
        <w:t>10:00</w:t>
      </w:r>
      <w:r>
        <w:tab/>
      </w:r>
      <w:r>
        <w:t>TJ Jiskra Hazlov  - </w:t>
      </w:r>
      <w:r>
        <w:rPr>
          <w:color w:val="00B050"/>
        </w:rPr>
        <w:t>KK Lokomotiva Tábor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Jiskra Hazlov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Hazlov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Hazlov 454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351 32 Hazlov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Repčík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603 813 533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pavel.repcik@seznam.cz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Miroslava Utikalová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603 495 548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utikal@email.cz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Hilton Sezimovo Ústí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Sezimovo Ústí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Ke Hvězdárně 667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391 02 Sezimovo Ústí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Branislav Černuška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branislavcernuska@seznam.cz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Dušan Jelínek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608 966 897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jelinek.dusan@seznam.cz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Konstruktiva Praha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Konstruktiva Praha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Mezi Sklady 107/3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142 00 Praha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Pleticha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pletichaj@seznam.cz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Barchánek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602 488 901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jan.barchanek@seznam.cz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Rokycany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Rokycany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Jiráskova 1154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337 01 Rokycany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Roman Pytlík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605 415 170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py.roman@seznam.cz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Lokomotiva Tábor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Tábor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Skálova 2878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390 02 Tábor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Jinda Martin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773 792 548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jinda.martin@zszborovska.cz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Kášek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721 089 543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kasekd@live.com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