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1696 dosáhlo družstvo: SK Rybník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1:1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1555:1471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1626:1486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1646:1696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1580:1562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7 : 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7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1477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Marek Weinlich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Marek Weinlich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1:1</w:t>
      </w:r>
      <w:r>
        <w:tab/>
      </w:r>
      <w:r>
        <w:t>1597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Jan Kučák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1471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</w:t>
      </w:r>
      <w:r>
        <w:rPr>
          <w:sz w:val="20"/>
          <w:rFonts w:ascii="" w:hAnsi="" w:cs=""/>
        </w:rPr>
        <w:t>František Svoboda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1626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1646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1696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170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Marek Weinlich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</w:t>
      </w:r>
      <w:r>
        <w:rPr>
          <w:sz w:val="18"/>
          <w:rFonts w:ascii="" w:hAnsi="" w:cs=""/>
        </w:rPr>
        <w:t>Karolína Kolářová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1580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1562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Lacina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546 kuželek dosáhli: Patrik Lacina, </w:t>
      </w:r>
      <w:r>
        <w:rPr>
          <w:sz w:val="18"/>
          <w:rFonts w:ascii="" w:hAnsi="" w:cs=""/>
        </w:rPr>
        <w:t>Karolína Kolářová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548.67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543.60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182.4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538.25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533.88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532.88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522.80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518.13</w:t>
      </w:r>
      <w:r>
        <w:rPr>
          <w:rFonts w:ascii="Nunito Sans" w:hAnsi="Nunito Sans"/>
        </w:rPr>
        <w:tab/>
        <w:t>343.1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164.9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504.33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503.22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502.63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495.83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494.33</w:t>
      </w:r>
      <w:r>
        <w:rPr>
          <w:rFonts w:ascii="Nunito Sans" w:hAnsi="Nunito Sans"/>
        </w:rPr>
        <w:tab/>
        <w:t>340.7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493.67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343.7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491.50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483.89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481.67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478.17</w:t>
      </w:r>
      <w:r>
        <w:rPr>
          <w:rFonts w:ascii="Nunito Sans" w:hAnsi="Nunito Sans"/>
        </w:rPr>
        <w:tab/>
        <w:t>319.3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474.33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432.00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27000</w:t>
      </w:r>
      <w:r>
        <w:rPr>
          <w:rFonts w:ascii="Nunito Sans" w:hAnsi="Nunito Sans" w:cs="Arial"/>
        </w:rPr>
        <w:tab/>
        <w:t>Said Babayev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27.10.2024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Odry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KC Zlín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